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0C" w:rsidRPr="00DA623C" w:rsidRDefault="00EC300C" w:rsidP="00EC300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A623C">
        <w:rPr>
          <w:rFonts w:ascii="Times New Roman" w:eastAsia="Calibri" w:hAnsi="Times New Roman" w:cs="Times New Roman"/>
          <w:b/>
          <w:sz w:val="28"/>
          <w:szCs w:val="28"/>
        </w:rPr>
        <w:t>ПЕРЕЛІК ПРАКТИЧНИХ НАВИЧОК</w:t>
      </w:r>
    </w:p>
    <w:p w:rsidR="00EC300C" w:rsidRPr="00DA623C" w:rsidRDefault="00EC300C" w:rsidP="00EC300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Дотримання правил техніки безпеки,</w:t>
      </w: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охорони праці</w:t>
      </w: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в галузі</w:t>
      </w: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санітарно-протиепідемічного режиму, </w:t>
      </w: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особистої гігієни, вимог асептики та антисептики під час роботи в КДЛ. 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Оброблення лабораторного посуду: миття, дезінфекція та стерилізація.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 розчинів різної концентрації.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Знешкодженя відпрацьованого матеріалу та лабораторного посуду під час та після проведення дослідження.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Підготовка та обладнання робочого місця для різних лабораторних досліджень. 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Дотримання правил профілактики СНІДу та сироваткового гепатиту під час гематологічних досліджень.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Узяття крові для загального клінічного аналізу та допоміжних гематологічних досліджень.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ШОЕ.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Підрахунок кількості еритроцитів.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гемоглобіну.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Розрахунок колірного показника та інших індексів.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Підрахунок кількості лейкоцитів.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Виготовлення, фіксація та забарвлення мазків крові.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Підрахунок лейкоцитарної формули.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Підрахунок кількості тромбоцитів.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Підрахунок кількості ретикулоцитів.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осмотичної резистентності еритроцитів.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гематокриту.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часу згортання крові.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тривалості кровотечі.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груп крові.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резус-фактора.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фізичних властивостей харкотиння.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Узяття матеріалу та виготовлення препаратів для мікроскопічного дослідження харкотиння.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Мікроскопічне дослідження нативних та забарвлених препаратів, диференціація елементів харкотиння.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фізичних властивостей сечі.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Техніка проведення проби Зимницького.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наявності та кількості білка в сечі різними методами.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наявності та кількості глюкози в сечі різними методами.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Виявлення кетонових тіл в сечі.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Виявлення в сечі білірубіну.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уробілінових тіл у сечі.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Виявлення гемоглобіну в сечі.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Отримання осаду сечі.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 нативного препарату з осаду сечі.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lastRenderedPageBreak/>
        <w:t>Диференціація елементів осаду сечі.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Кількісне дослідження осаду сечі за методом Нечипоренка.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Клінічний аналіз сечі.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 фізичних властивостей шлункового вмісту.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Титрування шлункового вмісту за методом Міхаеліса.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Титрування шлункового вмісту за методом Тепфера.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Проведення розрахунків кислотності шлункового вмісту.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дебіту хлоридної кислоти в шлунковому вмісті.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дефіциту хлоридної кислоти в шлунковому вмісті.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 ферментативної активності шлункового вмісту.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молочної кислоти в шлунковому вмісті.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 препаратів для мікроскопічного дослідження шлункового вмісту.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Мікроскопічне дослідження шлункового вмісту, диференціація елементів.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фізичних властивостей дуоденального вмісту.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 нативних препаратів дуоденального вмісту.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Мікроскопічне дослідження та диференціація елементів дуоденального вмісту.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Макроскопічне дослідження калу.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Хімічне дослідження калу.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 препаратів для мікроскопічного дослідження калу.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Мікроскопічне дослідження калу та диференціація елементів.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 фізичних властивостей випоту.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Хімічне дослідження випоту.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 та забарвлення препаратів для мікроскопічного дослідження випоту.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Диференціація елементів при мікроскопічному дослідженні випоту.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фізичних властивостей спинномозкової рідини.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хімічних властивостей спинномозкової рідини.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Підрахунок цитозу.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 та забарвлення препаратів для цитограми, для виявлення мікобактерій туберкульозу.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Фіксація та забарвлення препаратів із сечостатевих органів.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 виділень з піхви на ступінь чистоти.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 виділень з піхви, шийки матки, сечівника на гонококи.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Дослідження виділень з піхви, шийки матки, </w:t>
      </w:r>
      <w:r w:rsidRPr="00DA623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DA623C">
        <w:rPr>
          <w:rFonts w:ascii="Times New Roman" w:eastAsia="Calibri" w:hAnsi="Times New Roman" w:cs="Times New Roman"/>
          <w:sz w:val="28"/>
          <w:szCs w:val="28"/>
        </w:rPr>
        <w:t>ечівника на трихомонади.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Визначення фізичних властивостей еякуляту.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 нативного препарату еякуляту.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Мікроскопічне дослідження еякуляту, диференціація елементів.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Підрахунок сперматозоїдів в камері Горяєва.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 секрету передміхурової залози.</w:t>
      </w:r>
    </w:p>
    <w:p w:rsidR="00EC300C" w:rsidRPr="00DA623C" w:rsidRDefault="00EC300C" w:rsidP="00EC300C">
      <w:pPr>
        <w:widowControl w:val="0"/>
        <w:numPr>
          <w:ilvl w:val="0"/>
          <w:numId w:val="1"/>
        </w:numPr>
        <w:suppressAutoHyphens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Оформлення результатів дослідження та їх оцінювання за критерієм “норма/патологія”.</w:t>
      </w:r>
    </w:p>
    <w:p w:rsidR="00BB495C" w:rsidRDefault="00EC300C" w:rsidP="00EC300C">
      <w:r w:rsidRPr="00DA623C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sectPr w:rsidR="00BB495C" w:rsidSect="00DC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4791E"/>
    <w:multiLevelType w:val="hybridMultilevel"/>
    <w:tmpl w:val="AC5CD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5E"/>
    <w:rsid w:val="00BB495C"/>
    <w:rsid w:val="00DC502C"/>
    <w:rsid w:val="00EC300C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6B010-DF21-4857-9CEF-EC509F15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00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2463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Парламент</dc:creator>
  <cp:keywords/>
  <dc:description/>
  <cp:lastModifiedBy>Парламент</cp:lastModifiedBy>
  <cp:revision>2</cp:revision>
  <dcterms:created xsi:type="dcterms:W3CDTF">2018-01-29T07:56:00Z</dcterms:created>
  <dcterms:modified xsi:type="dcterms:W3CDTF">2018-01-29T07:56:00Z</dcterms:modified>
</cp:coreProperties>
</file>